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"/>
        <w:jc w:val="center"/>
        <w:rPr>
          <w:b/>
          <w:bCs/>
          <w:sz w:val="44"/>
          <w:szCs w:val="44"/>
        </w:rPr>
      </w:pPr>
      <w:bookmarkStart w:id="0" w:name="_GoBack"/>
    </w:p>
    <w:p>
      <w:pPr>
        <w:pStyle w:val="3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起重机作业安全协议书</w:t>
      </w:r>
    </w:p>
    <w:bookmarkEnd w:id="0"/>
    <w:p>
      <w:pPr>
        <w:pStyle w:val="3"/>
      </w:pPr>
    </w:p>
    <w:p>
      <w:pPr>
        <w:pStyle w:val="3"/>
      </w:pPr>
      <w:r>
        <w:t xml:space="preserve">甲方：  </w:t>
      </w:r>
    </w:p>
    <w:p>
      <w:pPr>
        <w:pStyle w:val="3"/>
      </w:pPr>
      <w:r>
        <w:t xml:space="preserve">乙方：  </w:t>
      </w:r>
    </w:p>
    <w:p>
      <w:pPr>
        <w:pStyle w:val="3"/>
      </w:pPr>
      <w:r>
        <w:t xml:space="preserve">　　   为贯彻“安全第一，预防为主”方针，为明确双方的安全责任，确保起重机施工中人身和设备安全，根据国家有关法律法规， 便于管理，利于生产， 经双方协商一致签订本协议。 </w:t>
      </w:r>
    </w:p>
    <w:p>
      <w:pPr>
        <w:pStyle w:val="3"/>
      </w:pPr>
      <w:r>
        <w:t>第 一 条 、 甲、乙双方应共同执行国家和市有关起重机吊装机械的安全管理规定。</w:t>
      </w:r>
    </w:p>
    <w:p>
      <w:pPr>
        <w:pStyle w:val="3"/>
      </w:pPr>
      <w:r>
        <w:t>第 二 条 、 施工 范围 地址： 广东省东莞市管辖市区、城镇</w:t>
      </w:r>
    </w:p>
    <w:p>
      <w:pPr>
        <w:pStyle w:val="3"/>
      </w:pPr>
      <w:r>
        <w:t xml:space="preserve">第 二 条 甲方责任 </w:t>
      </w:r>
    </w:p>
    <w:p>
      <w:pPr>
        <w:pStyle w:val="3"/>
      </w:pPr>
      <w:r>
        <w:t>3、 甲方 所提供的吊车，各种安全设施必须齐全、完整、机械性能良好，在设备使用前，甲方应派人对设备、操作、安全系数实施进行验收、如不合格影响施工安全的设备，严禁操作使用。</w:t>
      </w:r>
    </w:p>
    <w:p>
      <w:pPr>
        <w:pStyle w:val="3"/>
      </w:pPr>
      <w:r>
        <w:t xml:space="preserve">2、甲方有协助乙方搞好安全生产以及督促检查的义务。甲方有权检查督促乙方执行有关安全生产方面的工作规定，对乙方不符合安全操作的行为进行制止、纠正并发出安全整改通知书 或收回 起重机 ， 直至清退。 </w:t>
      </w:r>
    </w:p>
    <w:p>
      <w:pPr>
        <w:pStyle w:val="3"/>
      </w:pPr>
      <w:r>
        <w:t xml:space="preserve">　　4、乙方在施工中发生设备事故和人身事故，甲方有责任负责调查、统计上报。乙方在施工中如发生国务院《特别重大事故调查程序暂行规定》所规定的特大事故，甲方有权督促乙方立即通知当地政府和公安部门，要求派人保护现场；并有权要求乙方提供事故调查书面结论及处理意见。 </w:t>
      </w:r>
    </w:p>
    <w:p>
      <w:pPr>
        <w:pStyle w:val="3"/>
      </w:pPr>
      <w:r>
        <w:t xml:space="preserve">第四条 乙方责任 </w:t>
      </w:r>
    </w:p>
    <w:p>
      <w:pPr>
        <w:pStyle w:val="3"/>
      </w:pPr>
      <w:r>
        <w:t>1、 乙方负责吊车进退场运输中的交通安全管理工作，自行运输至施工现场。 </w:t>
      </w:r>
    </w:p>
    <w:p>
      <w:pPr>
        <w:pStyle w:val="3"/>
      </w:pPr>
      <w:r>
        <w:t xml:space="preserve">　　 2 、乙方所提供的操作资质证明材料应真实、合法、有效。  </w:t>
      </w:r>
    </w:p>
    <w:p>
      <w:pPr>
        <w:pStyle w:val="3"/>
      </w:pPr>
      <w:r>
        <w:t xml:space="preserve">　　 3 、乙方必须贯彻执行国家有关安全生产的法律法规，严格执行《建筑业安全工作规程》等有关安全生产规定、制度。  </w:t>
      </w:r>
    </w:p>
    <w:p>
      <w:pPr>
        <w:pStyle w:val="3"/>
      </w:pPr>
      <w:r>
        <w:t xml:space="preserve">4 、现场施工应遵守国家和地方关于劳动安全法律法规及规章制度；乙方必须按国家有关规定，为自己进行人身保险，配备合格的劳动防护用品、安全用具。  </w:t>
      </w:r>
    </w:p>
    <w:p>
      <w:pPr>
        <w:pStyle w:val="3"/>
      </w:pPr>
      <w:r>
        <w:t>5 、吊车的安全管理：吊具、索具、信号工、摘挂钩人员的安全由乙方负责。</w:t>
      </w:r>
    </w:p>
    <w:p>
      <w:pPr>
        <w:pStyle w:val="3"/>
      </w:pPr>
      <w:r>
        <w:t>6 、 乙方 在吊装中，必须指派具有起重机指挥资质的起重工指挥，统一指挥信号，确保施工安全。</w:t>
      </w:r>
    </w:p>
    <w:p>
      <w:pPr>
        <w:pStyle w:val="3"/>
      </w:pPr>
      <w:r>
        <w:t>　　 7 、乙方操作过程中发生人生伤亡、设备事故的不安全情况，   乙方应承担全部责任。</w:t>
      </w:r>
    </w:p>
    <w:p>
      <w:pPr>
        <w:pStyle w:val="3"/>
      </w:pPr>
      <w:r>
        <w:t xml:space="preserve">8 、严格执行安全操作规程，不准违章作业，严禁超负荷起吊。甲方机械进场后，乙方须负责每天工作之余该吊车的保卫工作，以免发生机械意外。  </w:t>
      </w:r>
    </w:p>
    <w:p>
      <w:pPr>
        <w:pStyle w:val="3"/>
      </w:pPr>
      <w:r>
        <w:t>9 、乙方必须保障吊装设备的完好和安全，按照吊车安全操作规程进行吊装，吊车司机必须持证上岗，遵守“十不吊”规定。  </w:t>
      </w:r>
    </w:p>
    <w:p>
      <w:pPr>
        <w:pStyle w:val="3"/>
      </w:pPr>
      <w:r>
        <w:t xml:space="preserve">1. 超过额定负荷不吊。  </w:t>
      </w:r>
    </w:p>
    <w:p>
      <w:pPr>
        <w:pStyle w:val="3"/>
      </w:pPr>
      <w:r>
        <w:t xml:space="preserve">2. 指挥信号不明、重量不明时不吊。  </w:t>
      </w:r>
    </w:p>
    <w:p>
      <w:pPr>
        <w:pStyle w:val="3"/>
      </w:pPr>
      <w:r>
        <w:t xml:space="preserve">3. 捆绑、吊挂不牢或不平衡可能引起吊物滑动时不吊。  </w:t>
      </w:r>
    </w:p>
    <w:p>
      <w:pPr>
        <w:pStyle w:val="3"/>
      </w:pPr>
      <w:r>
        <w:t xml:space="preserve">4. 被吊物上有人或有浮置物时不吊。  </w:t>
      </w:r>
    </w:p>
    <w:p>
      <w:pPr>
        <w:pStyle w:val="3"/>
      </w:pPr>
      <w:r>
        <w:t xml:space="preserve">5. 结构或零部件有影响安全工作的缺陷或损伤时不吊。  </w:t>
      </w:r>
    </w:p>
    <w:p>
      <w:pPr>
        <w:pStyle w:val="3"/>
      </w:pPr>
      <w:r>
        <w:t xml:space="preserve">6. 遇有拉力不清的埋置物时不吊。  </w:t>
      </w:r>
    </w:p>
    <w:p>
      <w:pPr>
        <w:pStyle w:val="3"/>
      </w:pPr>
      <w:r>
        <w:t xml:space="preserve">7. 歪拉斜吊重物时不吊。  </w:t>
      </w:r>
    </w:p>
    <w:p>
      <w:pPr>
        <w:pStyle w:val="3"/>
      </w:pPr>
      <w:r>
        <w:t xml:space="preserve">8. 工作场地昏暗，无法看清场地、被吊物和指挥信号时不吊。  </w:t>
      </w:r>
    </w:p>
    <w:p>
      <w:pPr>
        <w:pStyle w:val="3"/>
      </w:pPr>
      <w:r>
        <w:t xml:space="preserve">9. 重物棱角处与捆绑钢丝绳之间未加衬垫时不吊。  </w:t>
      </w:r>
    </w:p>
    <w:p>
      <w:pPr>
        <w:pStyle w:val="3"/>
      </w:pPr>
      <w:r>
        <w:t xml:space="preserve">10. 非起重指挥人员指挥时不吊。  </w:t>
      </w:r>
    </w:p>
    <w:p>
      <w:pPr>
        <w:pStyle w:val="3"/>
      </w:pPr>
      <w:r>
        <w:t xml:space="preserve">　   第五条   违约责任  </w:t>
      </w:r>
    </w:p>
    <w:p>
      <w:pPr>
        <w:pStyle w:val="3"/>
      </w:pPr>
      <w:r>
        <w:t>3 、 乙方必须保证相关的操作人员及机械的安全，如果出现安全事故和损失均由乙方承担全部责任。  </w:t>
      </w:r>
    </w:p>
    <w:p>
      <w:pPr>
        <w:pStyle w:val="3"/>
      </w:pPr>
      <w:r>
        <w:t>3 、在租赁期内，乙方使用不当，违章指挥造成吊车损坏，由乙方来负责赔偿甲方因此而造成的损失</w:t>
      </w:r>
    </w:p>
    <w:p>
      <w:pPr>
        <w:pStyle w:val="3"/>
      </w:pPr>
      <w:r>
        <w:t xml:space="preserve">第七条   本协议经双方签字 盖章 后生效。  </w:t>
      </w:r>
    </w:p>
    <w:p>
      <w:pPr>
        <w:pStyle w:val="3"/>
      </w:pPr>
      <w:r>
        <w:t xml:space="preserve">第八条   本协议一式 </w:t>
      </w:r>
      <w:r>
        <w:drawing>
          <wp:inline distT="0" distB="0" distL="114300" distR="114300">
            <wp:extent cx="114300" cy="152400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份，甲乙双方各执 </w:t>
      </w:r>
      <w:r>
        <w:drawing>
          <wp:inline distT="0" distB="0" distL="114300" distR="114300">
            <wp:extent cx="114300" cy="152400"/>
            <wp:effectExtent l="0" t="0" r="0" b="0"/>
            <wp:docPr id="2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份。  </w:t>
      </w:r>
    </w:p>
    <w:p>
      <w:pPr>
        <w:pStyle w:val="3"/>
      </w:pPr>
      <w:r>
        <w:t>9 、本协议在履行中如有争议，应当友好协商解决，协商无法达成一致的，双方均在地方法院以法诉讼解决。</w:t>
      </w:r>
    </w:p>
    <w:p>
      <w:pPr>
        <w:pStyle w:val="3"/>
      </w:pPr>
      <w:r>
        <w:t>七、本协议未尽事宜，凡属国家、   市有关规定的均按有关规定执行；凡属国家、地方等相关政府管理部门规定的，甲、乙双方可协商补充。     </w:t>
      </w:r>
    </w:p>
    <w:p>
      <w:pPr>
        <w:pStyle w:val="3"/>
      </w:pPr>
      <w:r>
        <w:br w:type="textWrapping"/>
      </w:r>
      <w:r>
        <w:t xml:space="preserve">甲   方：　　　　　　   　   乙   方：  </w:t>
      </w:r>
    </w:p>
    <w:p>
      <w:pPr>
        <w:pStyle w:val="3"/>
      </w:pPr>
      <w:r>
        <w:t xml:space="preserve">联系电话：　　　　   　联系电话：　　  </w:t>
      </w:r>
    </w:p>
    <w:p>
      <w:pPr>
        <w:pStyle w:val="3"/>
      </w:pPr>
      <w:r>
        <w:t xml:space="preserve">时   间：   年      月        日     时   间：   年      月        日  </w:t>
      </w:r>
    </w:p>
    <w:p>
      <w:pPr>
        <w:pStyle w:val="24"/>
      </w:pPr>
      <w:r>
        <w:br w:type="textWrapping"/>
      </w:r>
      <w:r>
        <w:br w:type="textWrapping"/>
      </w:r>
      <w:r>
        <w:br w:type="textWrapping"/>
      </w:r>
      <w:r>
        <w:br w:type="textWrapping"/>
      </w:r>
    </w:p>
    <w:sectPr/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86"/>
    <w:family w:val="auto"/>
    <w:pitch w:val="default"/>
    <w:sig w:usb0="E00006FF" w:usb1="420024FF" w:usb2="02000000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4C1F5A77"/>
  </w:rsids>
  <m:mathPr>
    <m:mathFont m:val="Lucida Grande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subSup"/>
    <m:wrapRight m:val="1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2">
    <w:name w:val="heading 1"/>
    <w:basedOn w:val="1"/>
    <w:next w:val="3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35B8A" w:themeColor="accent1" w:themeShade="B5"/>
      <w:sz w:val="32"/>
      <w:szCs w:val="32"/>
    </w:rPr>
  </w:style>
  <w:style w:type="paragraph" w:styleId="4">
    <w:name w:val="heading 2"/>
    <w:basedOn w:val="1"/>
    <w:next w:val="3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32"/>
      <w:szCs w:val="32"/>
    </w:rPr>
  </w:style>
  <w:style w:type="paragraph" w:styleId="5">
    <w:name w:val="heading 3"/>
    <w:basedOn w:val="1"/>
    <w:next w:val="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:sz w:val="28"/>
      <w:szCs w:val="28"/>
    </w:rPr>
  </w:style>
  <w:style w:type="paragraph" w:styleId="6">
    <w:name w:val="heading 4"/>
    <w:basedOn w:val="1"/>
    <w:next w:val="3"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7">
    <w:name w:val="heading 5"/>
    <w:basedOn w:val="1"/>
    <w:next w:val="3"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i/>
      <w:iCs/>
      <w:color w:val="4F81BD" w:themeColor="accent1"/>
      <w:sz w:val="24"/>
      <w:szCs w:val="24"/>
    </w:rPr>
  </w:style>
  <w:style w:type="paragraph" w:styleId="8">
    <w:name w:val="heading 6"/>
    <w:basedOn w:val="1"/>
    <w:next w:val="3"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9">
    <w:name w:val="heading 7"/>
    <w:basedOn w:val="1"/>
    <w:next w:val="3"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0">
    <w:name w:val="heading 8"/>
    <w:basedOn w:val="1"/>
    <w:next w:val="3"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paragraph" w:styleId="11">
    <w:name w:val="heading 9"/>
    <w:basedOn w:val="1"/>
    <w:next w:val="3"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color w:val="4F81BD" w:themeColor="accent1"/>
      <w:sz w:val="24"/>
      <w:szCs w:val="24"/>
    </w:rPr>
  </w:style>
  <w:style w:type="character" w:default="1" w:styleId="19">
    <w:name w:val="Default Paragraph Font"/>
    <w:semiHidden/>
    <w:unhideWhenUsed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next w:val="1"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firstLine="0"/>
    </w:pPr>
    <w:rPr>
      <w:rFonts w:asciiTheme="majorHAnsi" w:hAnsiTheme="majorHAnsi" w:eastAsiaTheme="majorEastAsia" w:cstheme="majorBidi"/>
      <w:bCs/>
      <w:sz w:val="20"/>
      <w:szCs w:val="20"/>
    </w:r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styleId="15">
    <w:name w:val="Subtitle"/>
    <w:basedOn w:val="16"/>
    <w:next w:val="3"/>
    <w:qFormat/>
    <w:uiPriority w:val="0"/>
    <w:pPr>
      <w:keepNext/>
      <w:keepLines/>
      <w:spacing w:before="240" w:after="240"/>
      <w:jc w:val="center"/>
    </w:pPr>
    <w:rPr>
      <w:sz w:val="30"/>
      <w:szCs w:val="30"/>
    </w:rPr>
  </w:style>
  <w:style w:type="paragraph" w:styleId="16">
    <w:name w:val="Title"/>
    <w:basedOn w:val="1"/>
    <w:next w:val="3"/>
    <w:qFormat/>
    <w:uiPriority w:val="0"/>
    <w:pPr>
      <w:keepNext/>
      <w:keepLines/>
      <w:spacing w:before="480" w:after="240"/>
      <w:jc w:val="center"/>
    </w:pPr>
    <w:rPr>
      <w:rFonts w:asciiTheme="majorHAnsi" w:hAnsiTheme="majorHAnsi" w:eastAsiaTheme="majorEastAsia" w:cstheme="majorBidi"/>
      <w:b/>
      <w:bCs/>
      <w:color w:val="335B8A" w:themeColor="accent1" w:themeShade="B5"/>
      <w:sz w:val="36"/>
      <w:szCs w:val="3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uiPriority w:val="0"/>
    <w:rPr>
      <w:color w:val="4F81BD" w:themeColor="accent1"/>
    </w:rPr>
  </w:style>
  <w:style w:type="character" w:customStyle="1" w:styleId="21">
    <w:name w:val="Body Text Char"/>
    <w:basedOn w:val="19"/>
    <w:link w:val="3"/>
    <w:uiPriority w:val="0"/>
  </w:style>
  <w:style w:type="character" w:styleId="22">
    <w:name w:val="footnote reference"/>
    <w:basedOn w:val="21"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paragraph" w:customStyle="1" w:styleId="25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" w:eastAsia="en-US" w:bidi="ar-SA"/>
    </w:rPr>
  </w:style>
  <w:style w:type="paragraph" w:customStyle="1" w:styleId="26">
    <w:name w:val="Abstract"/>
    <w:basedOn w:val="1"/>
    <w:next w:val="3"/>
    <w:qFormat/>
    <w:uiPriority w:val="0"/>
    <w:pPr>
      <w:keepNext/>
      <w:keepLines/>
      <w:spacing w:before="300" w:after="300"/>
    </w:pPr>
    <w:rPr>
      <w:sz w:val="20"/>
      <w:szCs w:val="20"/>
    </w:rPr>
  </w:style>
  <w:style w:type="paragraph" w:customStyle="1" w:styleId="27">
    <w:name w:val="Bibliography"/>
    <w:basedOn w:val="1"/>
    <w:qFormat/>
    <w:uiPriority w:val="0"/>
  </w:style>
  <w:style w:type="table" w:customStyle="1" w:styleId="28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9">
    <w:name w:val="Definition Term"/>
    <w:basedOn w:val="1"/>
    <w:next w:val="30"/>
    <w:uiPriority w:val="0"/>
    <w:pPr>
      <w:keepNext/>
      <w:keepLines/>
      <w:spacing w:after="0"/>
    </w:pPr>
    <w:rPr>
      <w:b/>
    </w:rPr>
  </w:style>
  <w:style w:type="paragraph" w:customStyle="1" w:styleId="30">
    <w:name w:val="Definition"/>
    <w:basedOn w:val="1"/>
    <w:uiPriority w:val="0"/>
  </w:style>
  <w:style w:type="paragraph" w:customStyle="1" w:styleId="31">
    <w:name w:val="Table Caption"/>
    <w:basedOn w:val="12"/>
    <w:uiPriority w:val="0"/>
    <w:pPr>
      <w:keepNext/>
    </w:pPr>
  </w:style>
  <w:style w:type="paragraph" w:customStyle="1" w:styleId="32">
    <w:name w:val="Image Caption"/>
    <w:basedOn w:val="12"/>
    <w:uiPriority w:val="0"/>
  </w:style>
  <w:style w:type="paragraph" w:customStyle="1" w:styleId="33">
    <w:name w:val="Figure"/>
    <w:basedOn w:val="1"/>
    <w:uiPriority w:val="0"/>
  </w:style>
  <w:style w:type="paragraph" w:customStyle="1" w:styleId="34">
    <w:name w:val="Captioned Figure"/>
    <w:basedOn w:val="33"/>
    <w:uiPriority w:val="0"/>
    <w:pPr>
      <w:keepNext/>
    </w:pPr>
  </w:style>
  <w:style w:type="character" w:customStyle="1" w:styleId="35">
    <w:name w:val="Verbatim Char"/>
    <w:basedOn w:val="21"/>
    <w:link w:val="36"/>
    <w:uiPriority w:val="0"/>
    <w:rPr>
      <w:rFonts w:ascii="Consolas" w:hAnsi="Consolas"/>
      <w:sz w:val="22"/>
    </w:rPr>
  </w:style>
  <w:style w:type="paragraph" w:customStyle="1" w:styleId="36">
    <w:name w:val="Source Code"/>
    <w:basedOn w:val="1"/>
    <w:link w:val="35"/>
    <w:uiPriority w:val="0"/>
    <w:pPr>
      <w:wordWrap w:val="0"/>
    </w:pPr>
  </w:style>
  <w:style w:type="paragraph" w:customStyle="1" w:styleId="37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366091" w:themeColor="accent1" w:themeShade="BF"/>
    </w:rPr>
  </w:style>
  <w:style w:type="character" w:customStyle="1" w:styleId="38">
    <w:name w:val="KeywordTok"/>
    <w:basedOn w:val="35"/>
    <w:uiPriority w:val="0"/>
    <w:rPr>
      <w:b/>
      <w:color w:val="007020"/>
    </w:rPr>
  </w:style>
  <w:style w:type="character" w:customStyle="1" w:styleId="39">
    <w:name w:val="DataTypeTok"/>
    <w:basedOn w:val="35"/>
    <w:uiPriority w:val="0"/>
    <w:rPr>
      <w:color w:val="902000"/>
    </w:rPr>
  </w:style>
  <w:style w:type="character" w:customStyle="1" w:styleId="40">
    <w:name w:val="DecValTok"/>
    <w:basedOn w:val="35"/>
    <w:uiPriority w:val="0"/>
    <w:rPr>
      <w:color w:val="40A070"/>
    </w:rPr>
  </w:style>
  <w:style w:type="character" w:customStyle="1" w:styleId="41">
    <w:name w:val="BaseNTok"/>
    <w:basedOn w:val="35"/>
    <w:uiPriority w:val="0"/>
    <w:rPr>
      <w:color w:val="40A070"/>
    </w:rPr>
  </w:style>
  <w:style w:type="character" w:customStyle="1" w:styleId="42">
    <w:name w:val="FloatTok"/>
    <w:basedOn w:val="35"/>
    <w:uiPriority w:val="0"/>
    <w:rPr>
      <w:color w:val="40A070"/>
    </w:rPr>
  </w:style>
  <w:style w:type="character" w:customStyle="1" w:styleId="43">
    <w:name w:val="ConstantTok"/>
    <w:basedOn w:val="35"/>
    <w:qFormat/>
    <w:uiPriority w:val="0"/>
    <w:rPr>
      <w:color w:val="880000"/>
    </w:rPr>
  </w:style>
  <w:style w:type="character" w:customStyle="1" w:styleId="44">
    <w:name w:val="CharTok"/>
    <w:basedOn w:val="35"/>
    <w:uiPriority w:val="0"/>
    <w:rPr>
      <w:color w:val="4070A0"/>
    </w:rPr>
  </w:style>
  <w:style w:type="character" w:customStyle="1" w:styleId="45">
    <w:name w:val="SpecialCharTok"/>
    <w:basedOn w:val="35"/>
    <w:uiPriority w:val="0"/>
    <w:rPr>
      <w:color w:val="4070A0"/>
    </w:rPr>
  </w:style>
  <w:style w:type="character" w:customStyle="1" w:styleId="46">
    <w:name w:val="StringTok"/>
    <w:basedOn w:val="35"/>
    <w:uiPriority w:val="0"/>
    <w:rPr>
      <w:color w:val="4070A0"/>
    </w:rPr>
  </w:style>
  <w:style w:type="character" w:customStyle="1" w:styleId="47">
    <w:name w:val="VerbatimStringTok"/>
    <w:basedOn w:val="35"/>
    <w:uiPriority w:val="0"/>
    <w:rPr>
      <w:color w:val="4070A0"/>
    </w:rPr>
  </w:style>
  <w:style w:type="character" w:customStyle="1" w:styleId="48">
    <w:name w:val="SpecialStringTok"/>
    <w:basedOn w:val="35"/>
    <w:uiPriority w:val="0"/>
    <w:rPr>
      <w:color w:val="BB6688"/>
    </w:rPr>
  </w:style>
  <w:style w:type="character" w:customStyle="1" w:styleId="49">
    <w:name w:val="ImportTok"/>
    <w:basedOn w:val="35"/>
    <w:uiPriority w:val="0"/>
  </w:style>
  <w:style w:type="character" w:customStyle="1" w:styleId="50">
    <w:name w:val="CommentTok"/>
    <w:basedOn w:val="35"/>
    <w:uiPriority w:val="0"/>
    <w:rPr>
      <w:i/>
      <w:color w:val="60A0B0"/>
    </w:rPr>
  </w:style>
  <w:style w:type="character" w:customStyle="1" w:styleId="51">
    <w:name w:val="DocumentationTok"/>
    <w:basedOn w:val="35"/>
    <w:uiPriority w:val="0"/>
    <w:rPr>
      <w:i/>
      <w:color w:val="BA2121"/>
    </w:rPr>
  </w:style>
  <w:style w:type="character" w:customStyle="1" w:styleId="52">
    <w:name w:val="AnnotationTok"/>
    <w:basedOn w:val="35"/>
    <w:qFormat/>
    <w:uiPriority w:val="0"/>
    <w:rPr>
      <w:b/>
      <w:i/>
      <w:color w:val="60A0B0"/>
    </w:rPr>
  </w:style>
  <w:style w:type="character" w:customStyle="1" w:styleId="53">
    <w:name w:val="CommentVarTok"/>
    <w:basedOn w:val="35"/>
    <w:uiPriority w:val="0"/>
    <w:rPr>
      <w:b/>
      <w:i/>
      <w:color w:val="60A0B0"/>
    </w:rPr>
  </w:style>
  <w:style w:type="character" w:customStyle="1" w:styleId="54">
    <w:name w:val="OtherTok"/>
    <w:basedOn w:val="35"/>
    <w:uiPriority w:val="0"/>
    <w:rPr>
      <w:color w:val="007020"/>
    </w:rPr>
  </w:style>
  <w:style w:type="character" w:customStyle="1" w:styleId="55">
    <w:name w:val="FunctionTok"/>
    <w:basedOn w:val="35"/>
    <w:uiPriority w:val="0"/>
    <w:rPr>
      <w:color w:val="06287E"/>
    </w:rPr>
  </w:style>
  <w:style w:type="character" w:customStyle="1" w:styleId="56">
    <w:name w:val="VariableTok"/>
    <w:basedOn w:val="35"/>
    <w:qFormat/>
    <w:uiPriority w:val="0"/>
    <w:rPr>
      <w:color w:val="19177C"/>
    </w:rPr>
  </w:style>
  <w:style w:type="character" w:customStyle="1" w:styleId="57">
    <w:name w:val="ControlFlowTok"/>
    <w:basedOn w:val="35"/>
    <w:qFormat/>
    <w:uiPriority w:val="0"/>
    <w:rPr>
      <w:b/>
      <w:color w:val="007020"/>
    </w:rPr>
  </w:style>
  <w:style w:type="character" w:customStyle="1" w:styleId="58">
    <w:name w:val="OperatorTok"/>
    <w:basedOn w:val="35"/>
    <w:qFormat/>
    <w:uiPriority w:val="0"/>
    <w:rPr>
      <w:color w:val="666666"/>
    </w:rPr>
  </w:style>
  <w:style w:type="character" w:customStyle="1" w:styleId="59">
    <w:name w:val="BuiltInTok"/>
    <w:basedOn w:val="35"/>
    <w:qFormat/>
    <w:uiPriority w:val="0"/>
  </w:style>
  <w:style w:type="character" w:customStyle="1" w:styleId="60">
    <w:name w:val="ExtensionTok"/>
    <w:basedOn w:val="35"/>
    <w:qFormat/>
    <w:uiPriority w:val="0"/>
  </w:style>
  <w:style w:type="character" w:customStyle="1" w:styleId="61">
    <w:name w:val="PreprocessorTok"/>
    <w:basedOn w:val="35"/>
    <w:uiPriority w:val="0"/>
    <w:rPr>
      <w:color w:val="BC7A00"/>
    </w:rPr>
  </w:style>
  <w:style w:type="character" w:customStyle="1" w:styleId="62">
    <w:name w:val="AttributeTok"/>
    <w:basedOn w:val="35"/>
    <w:uiPriority w:val="0"/>
    <w:rPr>
      <w:color w:val="7D9029"/>
    </w:rPr>
  </w:style>
  <w:style w:type="character" w:customStyle="1" w:styleId="63">
    <w:name w:val="RegionMarkerTok"/>
    <w:basedOn w:val="35"/>
    <w:uiPriority w:val="0"/>
  </w:style>
  <w:style w:type="character" w:customStyle="1" w:styleId="64">
    <w:name w:val="InformationTok"/>
    <w:basedOn w:val="35"/>
    <w:uiPriority w:val="0"/>
    <w:rPr>
      <w:b/>
      <w:i/>
      <w:color w:val="60A0B0"/>
    </w:rPr>
  </w:style>
  <w:style w:type="character" w:customStyle="1" w:styleId="65">
    <w:name w:val="WarningTok"/>
    <w:basedOn w:val="35"/>
    <w:uiPriority w:val="0"/>
    <w:rPr>
      <w:b/>
      <w:i/>
      <w:color w:val="60A0B0"/>
    </w:rPr>
  </w:style>
  <w:style w:type="character" w:customStyle="1" w:styleId="66">
    <w:name w:val="AlertTok"/>
    <w:basedOn w:val="35"/>
    <w:qFormat/>
    <w:uiPriority w:val="0"/>
    <w:rPr>
      <w:b/>
      <w:color w:val="FF0000"/>
    </w:rPr>
  </w:style>
  <w:style w:type="character" w:customStyle="1" w:styleId="67">
    <w:name w:val="ErrorTok"/>
    <w:basedOn w:val="35"/>
    <w:uiPriority w:val="0"/>
    <w:rPr>
      <w:b/>
      <w:color w:val="FF0000"/>
    </w:rPr>
  </w:style>
  <w:style w:type="character" w:customStyle="1" w:styleId="68">
    <w:name w:val="NormalTok"/>
    <w:basedOn w:val="3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475</Characters>
  <Lines>12</Lines>
  <Paragraphs>8</Paragraphs>
  <TotalTime>6</TotalTime>
  <ScaleCrop>false</ScaleCrop>
  <LinksUpToDate>false</LinksUpToDate>
  <CharactersWithSpaces>583</CharactersWithSpaces>
  <Application>WPS Office_11.1.0.10000_F1E327BC-269C-435d-A152-05C5408002CA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2020-10-29T07:55:00Z</dcterms:created>
  <dc:creator>一心报国</dc:creator>
  <dc:description>百度文库</dc:description>
  <cp:lastModifiedBy>一心报国</cp:lastModifiedBy>
  <dcterms:modified xsi:type="dcterms:W3CDTF">2020-10-29T07:56:43Z</dcterms:modified>
  <dc:title>起重机作业安全协议书 - 百度文库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le-mobile-web-app-capable">
    <vt:lpwstr>yes</vt:lpwstr>
  </property>
  <property fmtid="{D5CDD505-2E9C-101B-9397-08002B2CF9AE}" pid="3" name="apple-mobile-web-app-status-bar-style">
    <vt:lpwstr>black</vt:lpwstr>
  </property>
  <property fmtid="{D5CDD505-2E9C-101B-9397-08002B2CF9AE}" pid="4" name="format-detection">
    <vt:lpwstr/>
  </property>
  <property fmtid="{D5CDD505-2E9C-101B-9397-08002B2CF9AE}" pid="5" name="referrer">
    <vt:lpwstr>never</vt:lpwstr>
  </property>
  <property fmtid="{D5CDD505-2E9C-101B-9397-08002B2CF9AE}" pid="6" name="viewport">
    <vt:lpwstr>width=device-width,minimum-scale=1.0,maximum-scale=1.0,user-scalable=no,viewport-fit=cover</vt:lpwstr>
  </property>
  <property fmtid="{D5CDD505-2E9C-101B-9397-08002B2CF9AE}" pid="7" name="KSOProductBuildVer">
    <vt:lpwstr>2052-11.1.0.10000</vt:lpwstr>
  </property>
</Properties>
</file>